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6d644330a82842e7"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129</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Poarta Almăjului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Implementarea de măsuri smart village la nivelul teritoriului sub forma de investiții și servicii</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Observații</w:t>
            </w:r>
            <w:r>
              <w:rPr>
                <w:rFonts w:ascii="Cambria" w:hAnsi="Cambria"/>
                <w:b w:val="false"/>
                <w:color w:val="FFFFFF"/>
                <w:sz w:val="24"/>
              </w:rPr>
              <w:t> 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 Solicitantul trebuie să se încadreze în categoria beneficiarilor eligibili;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va verifica ca solicitantul să faca parte din categoria beneficiarilor eligibili, conform fișei (autorități publice locale, GAL, ADI), certificatul de înregistrare fiscală, statut și act constitutiv, documente ce atestă forma de organizare a solicitantului, cât și Cererea de Finanțare secțiunea B1.</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nu trebuie să fie în insolvență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va verifica completarea declaraţiei pe propria răspundere a solicitantului din Cererea de Finanțare.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r>
              <w:rPr>
                <w:rFonts w:ascii="Cambria Bold" w:hAnsi="Cambria Bold"/>
                <w:b/>
                <w:color w:val="1B4167"/>
                <w:sz w:val="24"/>
              </w:rPr>
              <w:t>Solicitantul se angajează să asigure întreținerea/mentenanța investiției pe o perioadă de minimum 5 ani de la data efectuării ultimei plăți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Hotărârea Consiliului Local/Hotărărea AGA (ONG)/ Hotărârile Consiliilor Locale (ADI), CF, MJ/SF/DALI. Experții verifică în Hotărârea Consiliului Local/Hotărărea AGA (ONG)/ Hotărârile Consiliilor Locale (ADI) pentru implementarea proiectului, angajamentul de a suporta cheltuielile de întreţinere/mentenanţă a investiției pe o perioadă de minimum 5 ani de la data efectuării ultimei plăți.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Investiția să se încadreze în tipul de sprijin prevăzut prin interventie;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Se verifică: - Fișa Intervenție FEADR nr. 1 din SDL; - Cererea de Finanțare pentru investiții; - MJ/SF/DALI; - strategia smart a UAT, unde se va implementa investiția. Experții GAL verifică dacă investiția se încadrează în tipul de sprijin prevăzut prin fișa de intervenție din SDL.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 Sediul solicitantului să fie situat pe teritoriul GAL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w:t>
            </w:r>
          </w:p>
          <w:p>
            <w:pPr>
              <w:spacing w:line="360" w:lineRule="auto"/>
              <w:ind w:left="0" w:right="0" w:firstLine="493"/>
            </w:pPr>
            <w:r>
              <w:rPr>
                <w:rFonts w:ascii="Cambria" w:hAnsi="Cambria"/>
                <w:b w:val="false"/>
                <w:sz w:val="24"/>
              </w:rPr>
              <w:t>- Documentele de înființare;</w:t>
            </w:r>
          </w:p>
          <w:p>
            <w:pPr>
              <w:spacing w:line="360" w:lineRule="auto"/>
              <w:ind w:left="0" w:right="0" w:firstLine="493"/>
            </w:pPr>
            <w:r>
              <w:rPr>
                <w:rFonts w:ascii="Cambria" w:hAnsi="Cambria"/>
                <w:b w:val="false"/>
                <w:sz w:val="24"/>
              </w:rPr>
              <w:t>- Cererea de Finanțare pentru investiții/servicii/mixtă</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 Investiția să respecte tipul de intervenție sprijinită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w:t>
            </w:r>
          </w:p>
          <w:p>
            <w:pPr>
              <w:spacing w:line="360" w:lineRule="auto"/>
              <w:ind w:left="0" w:right="0" w:firstLine="493"/>
            </w:pPr>
            <w:r>
              <w:rPr>
                <w:rFonts w:ascii="Cambria" w:hAnsi="Cambria"/>
                <w:b w:val="false"/>
                <w:sz w:val="24"/>
              </w:rPr>
              <w:t>- Fișa Intervenției FEADR nr. 1 din SDL;</w:t>
            </w:r>
          </w:p>
          <w:p>
            <w:pPr>
              <w:spacing w:line="360" w:lineRule="auto"/>
              <w:ind w:left="0" w:right="0" w:firstLine="493"/>
            </w:pPr>
            <w:r>
              <w:rPr>
                <w:rFonts w:ascii="Cambria" w:hAnsi="Cambria"/>
                <w:b w:val="false"/>
                <w:sz w:val="24"/>
              </w:rPr>
              <w:t>- Cererea de Finanțare pentru investiții/ servicii/mixte;</w:t>
            </w:r>
          </w:p>
          <w:p>
            <w:pPr>
              <w:spacing w:line="360" w:lineRule="auto"/>
              <w:ind w:left="0" w:right="0" w:firstLine="493"/>
            </w:pPr>
            <w:r>
              <w:rPr>
                <w:rFonts w:ascii="Cambria" w:hAnsi="Cambria"/>
                <w:b w:val="false"/>
                <w:sz w:val="24"/>
              </w:rPr>
              <w:t>- Memoriu Justificativ/SF/PT.</w:t>
            </w:r>
          </w:p>
          <w:p>
            <w:pPr>
              <w:spacing w:line="360" w:lineRule="auto"/>
              <w:ind w:left="0" w:right="0" w:firstLine="493"/>
            </w:pPr>
            <w:r>
              <w:rPr>
                <w:rFonts w:ascii="Cambria" w:hAnsi="Cambria"/>
                <w:b w:val="false"/>
                <w:sz w:val="24"/>
              </w:rPr>
              <w:t>Experții verifică dacă investiția se încadrează în tipul de sprijin prevăzut prin fișa de intervenție din SDL.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7</w:t>
            </w:r>
          </w:p>
        </w:tc>
        <w:tc>
          <w:tcPr>
            <w:vAlign w:val="center"/>
          </w:tcPr>
          <w:p>
            <w:r>
              <w:rPr>
                <w:rFonts w:ascii="Cambria Bold" w:hAnsi="Cambria Bold"/>
                <w:b/>
                <w:color w:val="1B4167"/>
                <w:sz w:val="24"/>
              </w:rPr>
              <w:t>Investiția trebuie să fie în concordanță cu Strategia de Dezvoltare Locală aprobată (conceptul SMART VILLAGE de la nivelul fiecărui UAT).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Se verifică dacă investiția finanțată prin intermediul proiectului este în conformitate cu conceptul de smart-village din strategia locală UAT, în baza următoarelor documente:</w:t>
            </w:r>
          </w:p>
          <w:p>
            <w:pPr>
              <w:spacing w:line="360" w:lineRule="auto"/>
              <w:ind w:left="0" w:right="0" w:firstLine="493"/>
            </w:pPr>
            <w:r>
              <w:rPr>
                <w:rFonts w:ascii="Cambria" w:hAnsi="Cambria"/>
                <w:b w:val="false"/>
                <w:sz w:val="24"/>
              </w:rPr>
              <w:t>- cererea de finanțare, secțiunea Descrierea proiectului: solicitantul va prezenta în această secțiune informații detaliate care justifică faptul că investiția finanțată prin proiect este în conformitate cu conceptul</w:t>
            </w:r>
          </w:p>
          <w:p>
            <w:pPr>
              <w:spacing w:line="360" w:lineRule="auto"/>
              <w:ind w:left="0" w:right="0" w:firstLine="493"/>
            </w:pPr>
            <w:r>
              <w:rPr>
                <w:rFonts w:ascii="Cambria" w:hAnsi="Cambria"/>
                <w:b w:val="false"/>
                <w:sz w:val="24"/>
              </w:rPr>
              <w:t>de smart-village din strategia locală;</w:t>
            </w:r>
          </w:p>
          <w:p>
            <w:pPr>
              <w:spacing w:line="360" w:lineRule="auto"/>
              <w:ind w:left="0" w:right="0" w:firstLine="493"/>
            </w:pPr>
            <w:r>
              <w:rPr>
                <w:rFonts w:ascii="Cambria" w:hAnsi="Cambria"/>
                <w:b w:val="false"/>
                <w:sz w:val="24"/>
              </w:rPr>
              <w:t>- cererea de finanțare, secțiunea Indicatori de rezultat și de realizare,</w:t>
            </w:r>
          </w:p>
          <w:p>
            <w:pPr>
              <w:spacing w:line="360" w:lineRule="auto"/>
              <w:ind w:left="0" w:right="0" w:firstLine="493"/>
            </w:pPr>
            <w:r>
              <w:rPr>
                <w:rFonts w:ascii="Cambria" w:hAnsi="Cambria"/>
                <w:b w:val="false"/>
                <w:sz w:val="24"/>
              </w:rPr>
              <w:t>indicatorul R40: solicitantul va menționa în această secțiune județul,</w:t>
            </w:r>
          </w:p>
          <w:p>
            <w:pPr>
              <w:spacing w:line="360" w:lineRule="auto"/>
              <w:ind w:left="0" w:right="0" w:firstLine="493"/>
            </w:pPr>
            <w:r>
              <w:rPr>
                <w:rFonts w:ascii="Cambria" w:hAnsi="Cambria"/>
                <w:b w:val="false"/>
                <w:sz w:val="24"/>
              </w:rPr>
              <w:t>denumirea UAT și denumirea strategiei în cauză;</w:t>
            </w:r>
          </w:p>
          <w:p>
            <w:pPr>
              <w:spacing w:line="360" w:lineRule="auto"/>
              <w:ind w:left="0" w:right="0" w:firstLine="493"/>
            </w:pPr>
            <w:r>
              <w:rPr>
                <w:rFonts w:ascii="Cambria" w:hAnsi="Cambria"/>
                <w:b w:val="false"/>
                <w:sz w:val="24"/>
              </w:rPr>
              <w:t>- studiu de fezabilitate/documentatie de avizare pentru lucrari de</w:t>
            </w:r>
          </w:p>
          <w:p>
            <w:pPr>
              <w:spacing w:line="360" w:lineRule="auto"/>
              <w:ind w:left="0" w:right="0" w:firstLine="493"/>
            </w:pPr>
            <w:r>
              <w:rPr>
                <w:rFonts w:ascii="Cambria" w:hAnsi="Cambria"/>
                <w:b w:val="false"/>
                <w:sz w:val="24"/>
              </w:rPr>
              <w:t>interventii/memoriu justificativ, daca este cazul (respectiv daca exista un astfel de document depus la proiect);</w:t>
            </w:r>
          </w:p>
          <w:p>
            <w:pPr>
              <w:spacing w:line="360" w:lineRule="auto"/>
              <w:ind w:left="0" w:right="0" w:firstLine="493"/>
            </w:pPr>
            <w:r>
              <w:rPr>
                <w:rFonts w:ascii="Cambria" w:hAnsi="Cambria"/>
                <w:b w:val="false"/>
                <w:sz w:val="24"/>
              </w:rPr>
              <w:t>- existența strategiei (anexată de către solicitant în cadrul proiectului, la categoria „Alte documente justificative”).</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Vor avea prioritate la finanțare proiectele pentru care numărul beneficiarilor indirecți este mai mare;</w:t>
            </w:r>
          </w:p>
        </w:tc>
        <w:tc>
          <w:tcPr>
            <w:shd w:val="clear" w:color="auto" w:fill="CCE1DB"/>
            <w:vAlign w:val="center"/>
          </w:tcPr>
          <w:p>
            <w:pPr>
              <w:spacing w:line="360" w:lineRule="auto"/>
              <w:ind w:left="0" w:right="0" w:firstLine="493"/>
            </w:pPr>
            <w:r>
              <w:rPr>
                <w:rFonts w:ascii="Cambria Bold" w:hAnsi="Cambria Bold"/>
                <w:b/>
                <w:color w:val="014935"/>
                <w:sz w:val="24"/>
              </w:rPr>
              <w:t>40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Proiecte care deservesc localități cu o populație de peste 2.001 locuitori </w:t>
            </w:r>
          </w:p>
        </w:tc>
        <w:tc>
          <w:tcPr>
            <w:vAlign w:val="center"/>
          </w:tcPr>
          <w:p>
            <w:pPr>
              <w:keepNext/>
              <w:jc w:val="center"/>
            </w:pPr>
            <w:r>
              <w:rPr>
                <w:rFonts w:ascii="Cambria" w:hAnsi="Cambria"/>
                <w:b w:val="false"/>
                <w:sz w:val="24"/>
              </w:rPr>
              <w:t>40</w:t>
            </w:r>
          </w:p>
        </w:tc>
        <w:tc>
          <w:tcPr>
            <w:vAlign w:val="center"/>
          </w:tcPr>
          <w:p/>
        </w:tc>
        <w:tc>
          <w:tcPr>
            <w:vAlign w:val="center"/>
          </w:tcPr>
          <w:p/>
        </w:tc>
      </w:tr>
      <w:tr>
        <w:trPr/>
        <w:tc>
          <w:tcPr>
            <w:gridSpan w:val="5"/>
            <w:shd w:val="clear" w:color="auto" w:fill="DDDDDD"/>
            <w:vAlign w:val="center"/>
          </w:tcPr>
          <w:p>
            <w:r>
              <w:rPr>
                <w:rFonts w:ascii="Cambria" w:hAnsi="Cambria"/>
                <w:b w:val="false"/>
                <w:sz w:val="24"/>
              </w:rPr>
              <w:t>Expertul verifică dacă implementarea proiectului se realizează în una din localitățile cu un număr de locuitori de peste 2.001 locuitori. Se verifică descrierea în cererea de finanțare și/sau SF/DALI/MJ, cât și Secțiunea ,,Componenţa teritorială,, a SDL POARTA ALMĂJULUI.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1.2</w:t>
            </w:r>
          </w:p>
        </w:tc>
        <w:tc>
          <w:tcPr>
            <w:shd w:val="clear" w:color="auto" w:fill="F8ECD2"/>
            <w:vAlign w:val="center"/>
          </w:tcPr>
          <w:p>
            <w:r>
              <w:rPr>
                <w:rFonts w:ascii="Cambria" w:hAnsi="Cambria"/>
                <w:b w:val="false"/>
                <w:color w:val="58400C"/>
                <w:sz w:val="24"/>
              </w:rPr>
              <w:t>Proiectul este implementat într-o localitate al cărei număr de locuitori se situează între 601- 2.000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Expertul verifică dacă implementarea proiectului se realizează în una din localitățile cu un număr de locuitori între 601-2.000 locuitori. Se verifică descrierea în cererea de finanțare și/sau SF/DALI/MJ, cât și Secțiunea ,,Componenţa teritorială,, a SDL POARTA ALMĂJULUI.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Principiul tipului de infrastructură;</w:t>
            </w:r>
          </w:p>
        </w:tc>
        <w:tc>
          <w:tcPr>
            <w:shd w:val="clear" w:color="auto" w:fill="CCE1DB"/>
            <w:vAlign w:val="center"/>
          </w:tcPr>
          <w:p>
            <w:pPr>
              <w:spacing w:line="360" w:lineRule="auto"/>
              <w:ind w:left="0" w:right="0" w:firstLine="493"/>
            </w:pPr>
            <w:r>
              <w:rPr>
                <w:rFonts w:ascii="Cambria Bold" w:hAnsi="Cambria Bold"/>
                <w:b/>
                <w:color w:val="014935"/>
                <w:sz w:val="24"/>
              </w:rPr>
              <w:t>30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Infrastructură recreațională și spații verzi inteligente </w:t>
            </w:r>
          </w:p>
        </w:tc>
        <w:tc>
          <w:tcPr>
            <w:vAlign w:val="center"/>
          </w:tcPr>
          <w:p>
            <w:pPr>
              <w:keepNext/>
              <w:jc w:val="center"/>
            </w:pPr>
            <w:r>
              <w:rPr>
                <w:rFonts w:ascii="Cambria" w:hAnsi="Cambria"/>
                <w:b w:val="false"/>
                <w:sz w:val="24"/>
              </w:rPr>
              <w:t>30</w:t>
            </w:r>
          </w:p>
        </w:tc>
        <w:tc>
          <w:tcPr>
            <w:vAlign w:val="center"/>
          </w:tcPr>
          <w:p/>
        </w:tc>
        <w:tc>
          <w:tcPr>
            <w:vAlign w:val="center"/>
          </w:tcPr>
          <w:p/>
        </w:tc>
      </w:tr>
      <w:tr>
        <w:trPr/>
        <w:tc>
          <w:tcPr>
            <w:gridSpan w:val="5"/>
            <w:shd w:val="clear" w:color="auto" w:fill="DDDDDD"/>
            <w:vAlign w:val="center"/>
          </w:tcPr>
          <w:p>
            <w:r>
              <w:rPr>
                <w:rFonts w:ascii="Cambria" w:hAnsi="Cambria"/>
                <w:b w:val="false"/>
                <w:sz w:val="24"/>
              </w:rPr>
              <w:t>Expertul verifică dacă proiectul include crearea de spații verzi inteligente, dotate cu minim 2 elemente tehnologice (senzori de aer, iluminat smart, camere video, mobilier urban inteligent/bănci cu încărcare USB/wireless). Se verifică CF și SF/MJ/DALI și devizul general.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2.2</w:t>
            </w:r>
          </w:p>
        </w:tc>
        <w:tc>
          <w:tcPr>
            <w:shd w:val="clear" w:color="auto" w:fill="F8ECD2"/>
            <w:vAlign w:val="center"/>
          </w:tcPr>
          <w:p>
            <w:r>
              <w:rPr>
                <w:rFonts w:ascii="Cambria" w:hAnsi="Cambria"/>
                <w:b w:val="false"/>
                <w:color w:val="58400C"/>
                <w:sz w:val="24"/>
              </w:rPr>
              <w:t>Digitalizarea serviciilor publice sau realizarea de infrastructură școlară inteligentă</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Expertul verifică: existența în proiect a unor soluții software/hardware integrate (ex: platformă de e-administrație, aplicație smart city pentru cetățeni, sisteme IoT pentru managementul deșeurilor/iluminatului, GIS local) și demonstrarea utilității pentru comunitate, în cazul digitalizării sau existența în proiect a unor soluții software/hardware integrate (ex: platformă de e-administrație, aplicație smart city pentru cetățeni, sisteme IoT pentru managementul deșeurilor/iluminatului, GIS local) și demonstrarea utilității pentru comunitate - în cazul digitalizării sau dotări unități școlare inteligente cu table interactive, laboratoare digitale (smart lab), sisteme de management al clădirii (BMS pentru eficiență energetică) sau integrarea de panouri fotovoltaice, pompe de căldură sau alte surse alternative destinate exclusiv sau majoritar consumului școlii. Se verifică CF și SF/MJ/DALI și devizul general.  </w:t>
            </w:r>
          </w:p>
          <w:p>
            <w:r>
              <w:rPr>
                <w:rFonts w:ascii="Cambria" w:hAnsi="Cambria"/>
                <w:b w:val="false"/>
                <w:sz w:val="24"/>
              </w:rPr>
              <w:t>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2.3</w:t>
            </w:r>
          </w:p>
        </w:tc>
        <w:tc>
          <w:tcPr>
            <w:shd w:val="clear" w:color="auto" w:fill="F8ECD2"/>
            <w:vAlign w:val="center"/>
          </w:tcPr>
          <w:p>
            <w:r>
              <w:rPr>
                <w:rFonts w:ascii="Cambria" w:hAnsi="Cambria"/>
                <w:b w:val="false"/>
                <w:color w:val="58400C"/>
                <w:sz w:val="24"/>
              </w:rPr>
              <w:t>Infrastructura de transport</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Expertul verifică dacă proiectul prevăd investiții în eficientizarea mobilității rurale și reducerea amprentei de carbon. Sunt punctate acțiunile care vizează: sisteme inteligente de management și monitorizare a traficului auto, indicatoare de circulație inteligente, amplasarea de stații de încărcare pentru vehicule electrice, precum și modernizarea stațiilor de autobuz prin integrarea de panouri digitale de informare în timp real sau aplicații dedicate călătorilor. Se verifică CF și SF/MJ/DALI și devizul general.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Proiecte care propun soluții pentru un mediu mai curat și creșterea sănătății și calității vieții populației;</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pPr>
              <w:spacing w:line="360" w:lineRule="auto"/>
              <w:ind w:left="0" w:right="0" w:firstLine="493"/>
            </w:pPr>
            <w:r>
              <w:rPr>
                <w:rFonts w:ascii="Cambria" w:hAnsi="Cambria"/>
                <w:b w:val="false"/>
                <w:color w:val="58400C"/>
                <w:sz w:val="24"/>
              </w:rPr>
              <w:t>Investiții în mobilitate eco-friendly și managementul eficient al traficului și energiei în comunitate</w:t>
            </w:r>
          </w:p>
        </w:tc>
        <w:tc>
          <w:tcPr>
            <w:vAlign w:val="center"/>
          </w:tcPr>
          <w:p>
            <w:pPr>
              <w:keepNext/>
              <w:spacing w:line="360" w:lineRule="auto"/>
              <w:ind w:left="0" w:right="0" w:firstLine="493"/>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Expertul verifică dacă proiectul include minim una dintre următoarele soluții inteligente cu impact direct asupra curățeniei mediului și calității vieții: Infrastructură de trafic auto inteligentă (rețele inteligente de management al traficului auto, indicatoare de circulație inteligente, stații de autobuz însoțite de aplicație pe telefon sau panouri inteligente, Stații de încărcare electrică pentru mijloacele de transport auto sau Soluții inteligente pentru gestionarea eficientă a energiei (rețele inteligente de iluminat public/eficiență energetică rurale). Se verifică CF și SF/MJ/DALI și devizul general.  </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Prioritizarea proiectelor care prevăd mai multe acțiuni de tip Smart Village</w:t>
            </w:r>
          </w:p>
        </w:tc>
        <w:tc>
          <w:tcPr>
            <w:shd w:val="clear" w:color="auto" w:fill="CCE1DB"/>
            <w:vAlign w:val="center"/>
          </w:tcPr>
          <w:p>
            <w:pPr>
              <w:spacing w:line="360" w:lineRule="auto"/>
              <w:ind w:left="0" w:right="0" w:firstLine="493"/>
            </w:pPr>
            <w:r>
              <w:rPr>
                <w:rFonts w:ascii="Cambria Bold" w:hAnsi="Cambria Bold"/>
                <w:b/>
                <w:color w:val="014935"/>
                <w:sz w:val="24"/>
              </w:rPr>
              <w:t>15</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pPr>
              <w:spacing w:line="360" w:lineRule="auto"/>
              <w:ind w:left="0" w:right="0" w:firstLine="493"/>
            </w:pPr>
            <w:r>
              <w:rPr>
                <w:rFonts w:ascii="Cambria" w:hAnsi="Cambria"/>
                <w:b w:val="false"/>
                <w:color w:val="58400C"/>
                <w:sz w:val="24"/>
              </w:rPr>
              <w:t>Proiecte care prevăd minim 2 acțiuni eligibile distincte</w:t>
            </w:r>
          </w:p>
        </w:tc>
        <w:tc>
          <w:tcPr>
            <w:vAlign w:val="center"/>
          </w:tcPr>
          <w:p>
            <w:pPr>
              <w:keepNext/>
              <w:spacing w:line="360" w:lineRule="auto"/>
              <w:ind w:left="0" w:right="0" w:firstLine="493"/>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Expertul verifică dacă proiectul propune minim 2 acțiuni eligibile distincte de tip Smart Village. Proiectul include o abordare complexă și prevede minim 2 acțiuni/soluții tehnologice inteligente distincte (indiferent dacă acestea sunt prevăzute în Fișa Măsurii sau sunt soluții inovatoare echivalente, argumentate ca atare în Memoriul Justificativ/Studiul de Fezabilitate).</w:t>
            </w:r>
          </w:p>
          <w:p>
            <w:pPr>
              <w:spacing w:line="360" w:lineRule="auto"/>
              <w:ind w:left="0" w:right="0" w:firstLine="493"/>
            </w:pPr>
            <w:r>
              <w:rPr>
                <w:rFonts w:ascii="Cambria" w:hAnsi="Cambria"/>
                <w:b w:val="false"/>
                <w:sz w:val="24"/>
              </w:rPr>
              <w:t>Se verifică CF și SF/MJ/DALI și devizul general.  </w:t>
            </w:r>
          </w:p>
          <w:p>
            <w:pPr>
              <w:spacing w:line="360" w:lineRule="auto"/>
              <w:ind w:left="0" w:right="0" w:firstLine="493"/>
            </w:pPr>
            <w:r>
              <w:rPr>
                <w:rFonts w:ascii="Cambria" w:hAnsi="Cambria"/>
                <w:b w:val="false"/>
                <w:sz w:val="24"/>
              </w:rPr>
              <w:t>Pentru această intervenție, pragul minim admis este de 30 puncte și reprezintă pragul sub care niciun proiect nu poate beneficia de finanțare nerambursabilă!</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Îndeplinit</w:t>
            </w:r>
            <w:r>
              <w:rPr>
                <w:rFonts w:ascii="Cambria Bold" w:hAnsi="Cambria Bold"/>
                <w:b/>
                <w:color w:val="FFFFFF"/>
                <w:sz w:val="24"/>
              </w:rPr>
              <w:br/>
            </w:r>
            <w:r>
              <w:rPr>
                <w:rFonts w:ascii="Cambria Bold" w:hAnsi="Cambria Bold"/>
                <w:b/>
                <w:color w:val="FFFFFF"/>
                <w:sz w:val="24"/>
              </w:rPr>
              <w:t>DA/NU</w:t>
            </w:r>
          </w:p>
        </w:tc>
        <w:tc>
          <w:tcPr>
            <w:tcW w:w="750" w:type="pct"/>
            <w:shd w:val="clear" w:color="auto" w:fill="015840"/>
            <w:vAlign w:val="center"/>
          </w:tcPr>
          <w:p>
            <w:pPr>
              <w:keepNext/>
              <w:jc w:val="center"/>
            </w:pPr>
            <w:r>
              <w:rPr>
                <w:rFonts w:ascii="Cambria Bold" w:hAnsi="Cambria Bold"/>
                <w:b/>
                <w:color w:val="FFFFFF"/>
                <w:sz w:val="24"/>
              </w:rPr>
              <w:t>Valoare</w:t>
            </w:r>
            <w:r>
              <w:rPr>
                <w:rFonts w:ascii="Cambria Bold" w:hAnsi="Cambria Bold"/>
                <w:b/>
                <w:color w:val="FFFFFF"/>
                <w:sz w:val="24"/>
              </w:rPr>
              <w:br/>
            </w:r>
            <w:r>
              <w:rPr>
                <w:rFonts w:ascii="Cambria Bold" w:hAnsi="Cambria Bold"/>
                <w:b/>
                <w:color w:val="FFFFFF"/>
                <w:sz w:val="24"/>
              </w:rPr>
              <w:t>(dacă este cazul)</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îndeplinirii</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Numărul de locuitori deserviți prin proiect </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Vor fi selectate cu prioritate proiectele cu un număr cât mai mare de locuitori deserviți, în ordine descrescătoare. Documente de verificat: 1. SDL GAL– secțiunea Componența teritorială; 2. SF/MJ/DALI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w:t>
            </w:r>
            <w:r>
              <w:rPr>
                <w:rFonts w:ascii="Cambria" w:hAnsi="Cambria"/>
                <w:b w:val="false"/>
                <w:color w:val="58400C"/>
                <w:sz w:val="24"/>
              </w:rPr>
              <w:t>CD 2</w:t>
            </w:r>
          </w:p>
        </w:tc>
        <w:tc>
          <w:tcPr>
            <w:shd w:val="clear" w:color="auto" w:fill="F8ECD2"/>
            <w:vAlign w:val="center"/>
          </w:tcPr>
          <w:p>
            <w:r>
              <w:rPr>
                <w:rFonts w:ascii="Cambria" w:hAnsi="Cambria"/>
                <w:b w:val="false"/>
                <w:color w:val="58400C"/>
                <w:sz w:val="24"/>
              </w:rPr>
              <w:t>Valoarea totală a proiectului</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În cazul proiectelor cu punctaj egal, al doilea criteriu de departajare este reprezentat de valoarea totală a proiectelor. Se prioritizează proiectele cu o valoare totală mai mică. Se verifică Cererea de finanțare (C.2 - Buget indicativ) și în cadrul SF/DALI/MJ. </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79255aab8826401d" /></Relationships>
</file>